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9D0A00" w:rsidRDefault="006A1D04" w:rsidP="009D0A00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a: </w:t>
      </w:r>
      <w:r w:rsidR="009D0A00" w:rsidRPr="009D0A00">
        <w:rPr>
          <w:rStyle w:val="Hipervnculo"/>
          <w:rFonts w:asciiTheme="minorHAnsi" w:hAnsiTheme="minorHAnsi" w:cstheme="minorHAnsi"/>
          <w:b/>
          <w:szCs w:val="28"/>
        </w:rPr>
        <w:t>acreditacionfiqt@uni.edu.pe</w:t>
      </w:r>
    </w:p>
    <w:p w:rsidR="009A4461" w:rsidRPr="006A1D04" w:rsidRDefault="009A4461" w:rsidP="006A1D04">
      <w:bookmarkStart w:id="0" w:name="_GoBack"/>
      <w:bookmarkEnd w:id="0"/>
    </w:p>
    <w:sectPr w:rsidR="009A4461" w:rsidRPr="006A1D04" w:rsidSect="006A1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C4" w:rsidRDefault="004A30C4">
      <w:r>
        <w:separator/>
      </w:r>
    </w:p>
  </w:endnote>
  <w:endnote w:type="continuationSeparator" w:id="0">
    <w:p w:rsidR="004A30C4" w:rsidRDefault="004A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C4" w:rsidRDefault="004A30C4">
      <w:r>
        <w:separator/>
      </w:r>
    </w:p>
  </w:footnote>
  <w:footnote w:type="continuationSeparator" w:id="0">
    <w:p w:rsidR="004A30C4" w:rsidRDefault="004A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0A75A7"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Ingeniería </w:t>
                          </w:r>
                          <w:r w:rsidR="001C3C0B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Química y Textil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0A75A7"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Ingeniería </w:t>
                    </w:r>
                    <w:r w:rsidR="001C3C0B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Química y Textil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3C0B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30C4"/>
    <w:rsid w:val="004A4DBC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4C2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0A00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59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0F91-B568-4AF2-995D-48D16159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7</cp:revision>
  <cp:lastPrinted>2018-03-19T22:28:00Z</cp:lastPrinted>
  <dcterms:created xsi:type="dcterms:W3CDTF">2018-08-20T17:00:00Z</dcterms:created>
  <dcterms:modified xsi:type="dcterms:W3CDTF">2018-08-27T16:38:00Z</dcterms:modified>
</cp:coreProperties>
</file>