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Identifica, formula y resuelve problemas complejos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2C490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364520" w:rsidRDefault="00364520" w:rsidP="00364520">
      <w:r w:rsidRPr="0093554E">
        <w:rPr>
          <w:rFonts w:asciiTheme="minorHAnsi" w:hAnsiTheme="minorHAnsi" w:cs="Arial"/>
        </w:rPr>
        <w:t xml:space="preserve">Completar la información y enviar al email: </w:t>
      </w:r>
      <w:r w:rsidR="0031737C" w:rsidRPr="000A75A7">
        <w:rPr>
          <w:rStyle w:val="Hipervnculo"/>
          <w:rFonts w:asciiTheme="minorHAnsi" w:hAnsiTheme="minorHAnsi" w:cstheme="minorHAnsi"/>
          <w:b/>
          <w:szCs w:val="28"/>
        </w:rPr>
        <w:t>acreditacionfieecs@uni.edu.pe</w:t>
      </w:r>
    </w:p>
    <w:sectPr w:rsidR="009A4461" w:rsidRPr="00364520" w:rsidSect="00470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65" w:rsidRDefault="00795F65">
      <w:r>
        <w:separator/>
      </w:r>
    </w:p>
  </w:endnote>
  <w:endnote w:type="continuationSeparator" w:id="0">
    <w:p w:rsidR="00795F65" w:rsidRDefault="0079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C" w:rsidRDefault="003173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C" w:rsidRDefault="00317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65" w:rsidRDefault="00795F65">
      <w:r>
        <w:separator/>
      </w:r>
    </w:p>
  </w:footnote>
  <w:footnote w:type="continuationSeparator" w:id="0">
    <w:p w:rsidR="00795F65" w:rsidRDefault="0079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C" w:rsidRDefault="003173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31737C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31737C" w:rsidRP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Ingeniería Económica, Estadística y Ciencias Sociales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Profesional de Ingeniería Estadística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31737C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31737C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31737C" w:rsidRPr="0031737C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Ingeniería Económica, Estadística y Ciencias Sociales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Profesional de Ingeniería Estadística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7C" w:rsidRDefault="003173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CE7EE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502D-E48A-40A9-88FB-CAA691A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6</cp:revision>
  <cp:lastPrinted>2018-03-21T17:57:00Z</cp:lastPrinted>
  <dcterms:created xsi:type="dcterms:W3CDTF">2018-03-21T17:55:00Z</dcterms:created>
  <dcterms:modified xsi:type="dcterms:W3CDTF">2018-08-20T17:27:00Z</dcterms:modified>
</cp:coreProperties>
</file>